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E05340" w14:textId="1A18B518" w:rsidR="008E28F9" w:rsidRPr="00B266B0" w:rsidRDefault="008E28F9" w:rsidP="008E28F9">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Pr>
          <w:noProof w:val="0"/>
          <w:sz w:val="24"/>
          <w:szCs w:val="24"/>
        </w:rPr>
        <w:t>125</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24</w:t>
      </w:r>
      <w:r w:rsidR="00EC5B44">
        <w:rPr>
          <w:bCs/>
          <w:noProof w:val="0"/>
          <w:sz w:val="24"/>
          <w:szCs w:val="24"/>
        </w:rPr>
        <w:t>4377</w:t>
      </w:r>
    </w:p>
    <w:p w14:paraId="51E6A08E" w14:textId="77777777" w:rsidR="008E28F9" w:rsidRDefault="008E28F9" w:rsidP="008E28F9">
      <w:pPr>
        <w:pStyle w:val="CRCoverPage"/>
        <w:outlineLvl w:val="0"/>
        <w:rPr>
          <w:b/>
          <w:noProof/>
          <w:sz w:val="24"/>
        </w:rPr>
      </w:pPr>
      <w:r w:rsidRPr="00C9189E">
        <w:rPr>
          <w:b/>
          <w:noProof/>
          <w:sz w:val="24"/>
        </w:rPr>
        <w:t>Maastricht, Netherlands, 19 – 23 August</w:t>
      </w:r>
      <w:r w:rsidRPr="008315AC">
        <w:rPr>
          <w:b/>
          <w:noProof/>
          <w:sz w:val="24"/>
        </w:rPr>
        <w:t>, 2024</w:t>
      </w:r>
      <w:r>
        <w:t xml:space="preserve"> </w:t>
      </w:r>
    </w:p>
    <w:p w14:paraId="17AA4D6B" w14:textId="77777777" w:rsidR="008E28F9" w:rsidRPr="00B1063A" w:rsidRDefault="008E28F9" w:rsidP="008E28F9">
      <w:pPr>
        <w:pStyle w:val="Header"/>
        <w:rPr>
          <w:bCs/>
          <w:noProof w:val="0"/>
          <w:sz w:val="24"/>
          <w:lang w:val="en-US"/>
        </w:rPr>
      </w:pPr>
    </w:p>
    <w:p w14:paraId="7B68AF93" w14:textId="77777777" w:rsidR="008E28F9" w:rsidRPr="00B1063A" w:rsidRDefault="008E28F9" w:rsidP="008E28F9">
      <w:pPr>
        <w:pStyle w:val="Header"/>
        <w:rPr>
          <w:bCs/>
          <w:noProof w:val="0"/>
          <w:sz w:val="24"/>
          <w:lang w:val="en-US"/>
        </w:rPr>
      </w:pPr>
    </w:p>
    <w:p w14:paraId="7A2492F5" w14:textId="77777777" w:rsidR="008E28F9" w:rsidRPr="00EA34EB" w:rsidRDefault="008E28F9" w:rsidP="008E28F9">
      <w:pPr>
        <w:pStyle w:val="CRCoverPage"/>
        <w:tabs>
          <w:tab w:val="left" w:pos="1985"/>
        </w:tabs>
        <w:rPr>
          <w:rFonts w:cs="Arial"/>
          <w:b/>
          <w:bCs/>
          <w:sz w:val="24"/>
          <w:lang w:val="en-US" w:eastAsia="ja-JP"/>
        </w:rPr>
      </w:pPr>
      <w:r w:rsidRPr="00EA34EB">
        <w:rPr>
          <w:rFonts w:cs="Arial"/>
          <w:b/>
          <w:bCs/>
          <w:sz w:val="24"/>
          <w:lang w:val="en-US"/>
        </w:rPr>
        <w:t>Agenda item:</w:t>
      </w:r>
      <w:r w:rsidRPr="00EA34EB">
        <w:rPr>
          <w:rFonts w:cs="Arial"/>
          <w:b/>
          <w:bCs/>
          <w:sz w:val="24"/>
          <w:lang w:val="en-US"/>
        </w:rPr>
        <w:tab/>
      </w:r>
      <w:r w:rsidRPr="00EA34EB">
        <w:rPr>
          <w:rFonts w:cs="Arial"/>
          <w:b/>
          <w:bCs/>
          <w:sz w:val="24"/>
          <w:lang w:val="en-US" w:eastAsia="ja-JP"/>
        </w:rPr>
        <w:t>11.3</w:t>
      </w:r>
    </w:p>
    <w:p w14:paraId="6826CB3F" w14:textId="36D0491F" w:rsidR="008E28F9" w:rsidRPr="00EA34EB" w:rsidRDefault="008E28F9" w:rsidP="008E28F9">
      <w:pPr>
        <w:tabs>
          <w:tab w:val="left" w:pos="1985"/>
        </w:tabs>
        <w:ind w:left="1985" w:hanging="1985"/>
        <w:rPr>
          <w:rFonts w:ascii="Arial" w:hAnsi="Arial" w:cs="Arial"/>
          <w:b/>
          <w:bCs/>
          <w:sz w:val="24"/>
          <w:lang w:val="en-US"/>
        </w:rPr>
      </w:pPr>
      <w:r w:rsidRPr="00EA34EB">
        <w:rPr>
          <w:rFonts w:ascii="Arial" w:hAnsi="Arial" w:cs="Arial"/>
          <w:b/>
          <w:bCs/>
          <w:sz w:val="24"/>
          <w:lang w:val="en-US"/>
        </w:rPr>
        <w:t>Source:</w:t>
      </w:r>
      <w:r w:rsidRPr="00EA34EB">
        <w:rPr>
          <w:rFonts w:ascii="Arial" w:hAnsi="Arial" w:cs="Arial"/>
          <w:b/>
          <w:bCs/>
          <w:sz w:val="24"/>
          <w:lang w:val="en-US"/>
        </w:rPr>
        <w:tab/>
        <w:t>Nokia</w:t>
      </w:r>
      <w:r>
        <w:rPr>
          <w:rFonts w:ascii="Arial" w:hAnsi="Arial" w:cs="Arial"/>
          <w:b/>
          <w:bCs/>
          <w:sz w:val="24"/>
          <w:lang w:val="en-US"/>
        </w:rPr>
        <w:t xml:space="preserve">, Telecom Italia, </w:t>
      </w:r>
      <w:r w:rsidR="004F46A6">
        <w:rPr>
          <w:rFonts w:ascii="Arial" w:hAnsi="Arial" w:cs="Arial"/>
          <w:b/>
          <w:bCs/>
          <w:sz w:val="24"/>
          <w:lang w:val="en-US"/>
        </w:rPr>
        <w:t>Jio, Vodafone</w:t>
      </w:r>
    </w:p>
    <w:p w14:paraId="33500EAC" w14:textId="77777777" w:rsidR="008E28F9" w:rsidRDefault="008E28F9" w:rsidP="008E28F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Discussion on how to determine the future</w:t>
      </w:r>
      <w:r w:rsidRPr="005F425D">
        <w:rPr>
          <w:rFonts w:ascii="Arial" w:hAnsi="Arial" w:cs="Arial"/>
          <w:b/>
          <w:bCs/>
          <w:sz w:val="24"/>
        </w:rPr>
        <w:t xml:space="preserve"> CCO</w:t>
      </w:r>
      <w:r>
        <w:rPr>
          <w:rFonts w:ascii="Arial" w:hAnsi="Arial" w:cs="Arial"/>
          <w:b/>
          <w:bCs/>
          <w:sz w:val="24"/>
        </w:rPr>
        <w:t xml:space="preserve"> state</w:t>
      </w:r>
    </w:p>
    <w:p w14:paraId="214FADB5" w14:textId="77777777" w:rsidR="008E28F9" w:rsidRPr="00B266B0" w:rsidRDefault="008E28F9" w:rsidP="008E28F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C7CEB3" w14:textId="77777777" w:rsidR="008E28F9" w:rsidRPr="006E13D1" w:rsidRDefault="008E28F9" w:rsidP="008E28F9">
      <w:pPr>
        <w:pStyle w:val="Heading1"/>
      </w:pPr>
      <w:r w:rsidRPr="006E13D1">
        <w:t>1</w:t>
      </w:r>
      <w:r w:rsidRPr="006E13D1">
        <w:tab/>
      </w:r>
      <w:r>
        <w:t>Introduction</w:t>
      </w:r>
    </w:p>
    <w:p w14:paraId="7451699D" w14:textId="77777777" w:rsidR="008E28F9" w:rsidRDefault="008E28F9" w:rsidP="008E28F9">
      <w:r>
        <w:t>In RAN3#123bis and RAN3#124 we have had discussions about the location of AI/ML Model Inference and whether it should be supported that AI/ML Model Inference is also located in the gNB-DU, leading to the following agreements:</w:t>
      </w:r>
    </w:p>
    <w:p w14:paraId="724D9BE6" w14:textId="77777777" w:rsidR="008E28F9" w:rsidRPr="00D56B90" w:rsidRDefault="008E28F9" w:rsidP="008E28F9">
      <w:pPr>
        <w:rPr>
          <w:rFonts w:ascii="Calibri" w:hAnsi="Calibri" w:cs="Calibri"/>
          <w:b/>
          <w:color w:val="008000"/>
          <w:sz w:val="18"/>
        </w:rPr>
      </w:pPr>
      <w:r w:rsidRPr="00525C7D">
        <w:t>Agreement 1:</w:t>
      </w:r>
      <w:r>
        <w:rPr>
          <w:rFonts w:ascii="Calibri" w:hAnsi="Calibri" w:cs="Calibri"/>
          <w:b/>
          <w:color w:val="008000"/>
          <w:sz w:val="18"/>
        </w:rPr>
        <w:t xml:space="preserve"> </w:t>
      </w:r>
      <w:r w:rsidRPr="00D56B90">
        <w:rPr>
          <w:rFonts w:ascii="Calibri" w:hAnsi="Calibri" w:cs="Calibri"/>
          <w:b/>
          <w:color w:val="008000"/>
          <w:sz w:val="18"/>
        </w:rPr>
        <w:t xml:space="preserve">For non-split architecture, future CCO state can be derived via legacy mechanism or AI/ML techniques which is up to implementation. </w:t>
      </w:r>
    </w:p>
    <w:p w14:paraId="2662CE1A" w14:textId="77777777" w:rsidR="008E28F9" w:rsidRDefault="008E28F9" w:rsidP="008E28F9">
      <w:r w:rsidRPr="00525C7D">
        <w:t xml:space="preserve">Agreement </w:t>
      </w:r>
      <w:r>
        <w:t>2</w:t>
      </w:r>
      <w:r w:rsidRPr="00525C7D">
        <w:t>:</w:t>
      </w:r>
      <w:r>
        <w:rPr>
          <w:rFonts w:ascii="Calibri" w:hAnsi="Calibri" w:cs="Calibri"/>
          <w:b/>
          <w:color w:val="008000"/>
          <w:sz w:val="18"/>
        </w:rPr>
        <w:t xml:space="preserve"> </w:t>
      </w:r>
      <w:r w:rsidRPr="00D56B90">
        <w:rPr>
          <w:rFonts w:ascii="Calibri" w:hAnsi="Calibri" w:cs="Calibri"/>
          <w:b/>
          <w:color w:val="008000"/>
          <w:sz w:val="18"/>
        </w:rPr>
        <w:t>For split architecture, the standardization of AI/ML based future CCO state inference in the gNB-DU is not supported in R19, how to derive future CCO state is up to implementation in the gNB-DU, e.g., legacy or AI/ML.</w:t>
      </w:r>
    </w:p>
    <w:p w14:paraId="3789858D" w14:textId="77777777" w:rsidR="008E28F9" w:rsidRDefault="008E28F9" w:rsidP="008E28F9">
      <w:proofErr w:type="gramStart"/>
      <w:r>
        <w:t>Furthermore</w:t>
      </w:r>
      <w:proofErr w:type="gramEnd"/>
      <w:r>
        <w:t xml:space="preserve"> there was a discussion at RAN3#124 of having predicted CCO state as output of the AI/ML model, but no conclusion was reached. In this paper we provide our views on this question.</w:t>
      </w:r>
    </w:p>
    <w:p w14:paraId="31D53E5A" w14:textId="77777777" w:rsidR="008E28F9" w:rsidRDefault="008E28F9" w:rsidP="008E28F9">
      <w:pPr>
        <w:pStyle w:val="Heading1"/>
      </w:pPr>
      <w:r w:rsidRPr="006E13D1">
        <w:t>2</w:t>
      </w:r>
      <w:r w:rsidRPr="006E13D1">
        <w:tab/>
      </w:r>
      <w:r>
        <w:t>Discussion</w:t>
      </w:r>
    </w:p>
    <w:p w14:paraId="5CC5CB26" w14:textId="77777777" w:rsidR="008E28F9" w:rsidRDefault="008E28F9" w:rsidP="008E28F9">
      <w:r>
        <w:t>In terms of terminology, we notice that agreement 1 says that the ‘future CCO state’ can be derived via AI/ML techniques or legacy techniques. Based on this it seems clear that the term ‘future CCO state’ is a generic term that covers either of the two following cases:</w:t>
      </w:r>
    </w:p>
    <w:p w14:paraId="2B0F6372" w14:textId="77777777" w:rsidR="008E28F9" w:rsidRPr="00060E9D" w:rsidRDefault="008E28F9" w:rsidP="008E28F9">
      <w:pPr>
        <w:pStyle w:val="ListParagraph"/>
        <w:numPr>
          <w:ilvl w:val="0"/>
          <w:numId w:val="5"/>
        </w:numPr>
        <w:rPr>
          <w:sz w:val="20"/>
          <w:szCs w:val="20"/>
        </w:rPr>
      </w:pPr>
      <w:r w:rsidRPr="00060E9D">
        <w:rPr>
          <w:sz w:val="20"/>
          <w:szCs w:val="20"/>
        </w:rPr>
        <w:t xml:space="preserve">the ‘future coverage state’ can be derived using legacy (non-AI/ML) </w:t>
      </w:r>
      <w:r>
        <w:rPr>
          <w:sz w:val="20"/>
          <w:szCs w:val="20"/>
        </w:rPr>
        <w:t>mechanisms. This case is also covered by the method-agnostic (non-AI/ML techniques vs AI/ML techniques) agreement we took at RAN3#123bis, saying that a</w:t>
      </w:r>
      <w:r w:rsidRPr="00060E9D">
        <w:rPr>
          <w:sz w:val="20"/>
          <w:szCs w:val="20"/>
        </w:rPr>
        <w:t xml:space="preserve"> predicted CCO issue</w:t>
      </w:r>
      <w:r>
        <w:rPr>
          <w:sz w:val="20"/>
          <w:szCs w:val="20"/>
        </w:rPr>
        <w:t xml:space="preserve"> will be used as input: non-split architecture: “</w:t>
      </w:r>
      <w:r w:rsidRPr="003D3304">
        <w:rPr>
          <w:rFonts w:ascii="Calibri" w:eastAsia="MS Mincho" w:hAnsi="Calibri" w:cs="Calibri"/>
          <w:i/>
          <w:iCs/>
          <w:color w:val="00B050"/>
          <w:kern w:val="2"/>
          <w:sz w:val="16"/>
          <w:szCs w:val="16"/>
        </w:rPr>
        <w:t>gNB generates the future coverage status based on the predicted CCO issue and other information</w:t>
      </w:r>
      <w:r>
        <w:rPr>
          <w:sz w:val="20"/>
          <w:szCs w:val="20"/>
        </w:rPr>
        <w:t>”, split architecture: “</w:t>
      </w:r>
      <w:r w:rsidRPr="003D3304">
        <w:rPr>
          <w:rFonts w:ascii="Calibri" w:eastAsia="MS Mincho" w:hAnsi="Calibri" w:cs="Calibri"/>
          <w:i/>
          <w:iCs/>
          <w:color w:val="00B050"/>
          <w:kern w:val="2"/>
          <w:sz w:val="16"/>
          <w:szCs w:val="16"/>
        </w:rPr>
        <w:t>gNB-DU generates the future coverage status based on the predicted CCO issue and other local information</w:t>
      </w:r>
      <w:r>
        <w:rPr>
          <w:sz w:val="20"/>
          <w:szCs w:val="20"/>
        </w:rPr>
        <w:t>”.</w:t>
      </w:r>
    </w:p>
    <w:p w14:paraId="0866E2CF" w14:textId="77777777" w:rsidR="008E28F9" w:rsidRPr="00060E9D" w:rsidRDefault="008E28F9" w:rsidP="008E28F9">
      <w:pPr>
        <w:pStyle w:val="ListParagraph"/>
        <w:numPr>
          <w:ilvl w:val="0"/>
          <w:numId w:val="5"/>
        </w:numPr>
        <w:rPr>
          <w:sz w:val="20"/>
          <w:szCs w:val="20"/>
        </w:rPr>
      </w:pPr>
      <w:r w:rsidRPr="00060E9D">
        <w:rPr>
          <w:sz w:val="20"/>
          <w:szCs w:val="20"/>
        </w:rPr>
        <w:t>the ‘future coverage state’ can be derived via AI/ML technique</w:t>
      </w:r>
      <w:r>
        <w:rPr>
          <w:sz w:val="20"/>
          <w:szCs w:val="20"/>
        </w:rPr>
        <w:t>s</w:t>
      </w:r>
      <w:r w:rsidRPr="00060E9D">
        <w:rPr>
          <w:sz w:val="20"/>
          <w:szCs w:val="20"/>
        </w:rPr>
        <w:t xml:space="preserve">, and in this </w:t>
      </w:r>
      <w:proofErr w:type="gramStart"/>
      <w:r w:rsidRPr="00060E9D">
        <w:rPr>
          <w:sz w:val="20"/>
          <w:szCs w:val="20"/>
        </w:rPr>
        <w:t>case</w:t>
      </w:r>
      <w:proofErr w:type="gramEnd"/>
      <w:r w:rsidRPr="00060E9D">
        <w:rPr>
          <w:sz w:val="20"/>
          <w:szCs w:val="20"/>
        </w:rPr>
        <w:t xml:space="preserve"> it </w:t>
      </w:r>
      <w:r>
        <w:rPr>
          <w:sz w:val="20"/>
          <w:szCs w:val="20"/>
        </w:rPr>
        <w:t>means the same as</w:t>
      </w:r>
      <w:r w:rsidRPr="00060E9D">
        <w:rPr>
          <w:sz w:val="20"/>
          <w:szCs w:val="20"/>
        </w:rPr>
        <w:t xml:space="preserve"> ‘predicted coverage state’</w:t>
      </w:r>
    </w:p>
    <w:p w14:paraId="6E17E33B" w14:textId="77777777" w:rsidR="008E28F9" w:rsidRPr="001A6DAA" w:rsidRDefault="008E28F9" w:rsidP="008E28F9">
      <w:pPr>
        <w:rPr>
          <w:lang w:val="en-US"/>
        </w:rPr>
      </w:pPr>
    </w:p>
    <w:p w14:paraId="25754BF1" w14:textId="77777777" w:rsidR="008E28F9" w:rsidRDefault="008E28F9" w:rsidP="008E28F9">
      <w:r>
        <w:t>Furthermore, Agreement 1 makes clear that for non-split architecture the use of AI/ML techniques (or legacy mechanisms) to derive the CCO state is up to implementation. This means that Agreement 1 excludes the predicted (or future) CCO state as an output of a standardized AI/ML model deployed in non-split architecture.</w:t>
      </w:r>
    </w:p>
    <w:p w14:paraId="1FEF199F" w14:textId="77777777" w:rsidR="008E28F9" w:rsidRPr="00D72F03" w:rsidRDefault="008E28F9" w:rsidP="008E28F9">
      <w:pPr>
        <w:rPr>
          <w:b/>
          <w:bCs/>
        </w:rPr>
      </w:pPr>
      <w:r w:rsidRPr="00D72F03">
        <w:rPr>
          <w:b/>
          <w:bCs/>
        </w:rPr>
        <w:t xml:space="preserve">Observation 1:  Agreement 1 excludes the predicted (or future) CCO state as </w:t>
      </w:r>
      <w:r>
        <w:rPr>
          <w:b/>
          <w:bCs/>
        </w:rPr>
        <w:t xml:space="preserve">an </w:t>
      </w:r>
      <w:r w:rsidRPr="00D72F03">
        <w:rPr>
          <w:b/>
          <w:bCs/>
        </w:rPr>
        <w:t>output of a standardized AI/ML model deployed in non-split architecture.</w:t>
      </w:r>
    </w:p>
    <w:p w14:paraId="32B69DAA" w14:textId="77777777" w:rsidR="008E28F9" w:rsidRDefault="008E28F9" w:rsidP="008E28F9">
      <w:r>
        <w:t>When it comes to split architecture, Agreement 2 indicates that “</w:t>
      </w:r>
      <w:r w:rsidRPr="00D56B90">
        <w:rPr>
          <w:rFonts w:ascii="Calibri" w:hAnsi="Calibri" w:cs="Calibri"/>
          <w:b/>
          <w:color w:val="008000"/>
          <w:sz w:val="18"/>
        </w:rPr>
        <w:t>the standardization of AI/ML based future CCO state inference in the gNB-DU is not supported in R19</w:t>
      </w:r>
      <w:r>
        <w:t>”. This agreement therefore excludes the predicted (or future) CCO state as an output of a standardized AI/ML model deployed in the gNB-DU.</w:t>
      </w:r>
    </w:p>
    <w:p w14:paraId="22CB3F60" w14:textId="77777777" w:rsidR="008E28F9" w:rsidRPr="00D72F03" w:rsidRDefault="008E28F9" w:rsidP="008E28F9">
      <w:pPr>
        <w:rPr>
          <w:b/>
          <w:bCs/>
        </w:rPr>
      </w:pPr>
      <w:r w:rsidRPr="00D72F03">
        <w:rPr>
          <w:b/>
          <w:bCs/>
        </w:rPr>
        <w:t xml:space="preserve">Observation </w:t>
      </w:r>
      <w:r>
        <w:rPr>
          <w:b/>
          <w:bCs/>
        </w:rPr>
        <w:t>2</w:t>
      </w:r>
      <w:r w:rsidRPr="00D72F03">
        <w:rPr>
          <w:b/>
          <w:bCs/>
        </w:rPr>
        <w:t xml:space="preserve">:  Agreement </w:t>
      </w:r>
      <w:r>
        <w:rPr>
          <w:b/>
          <w:bCs/>
        </w:rPr>
        <w:t>2</w:t>
      </w:r>
      <w:r w:rsidRPr="00D72F03">
        <w:rPr>
          <w:b/>
          <w:bCs/>
        </w:rPr>
        <w:t xml:space="preserve"> excludes the predicted (or future) CCO state as </w:t>
      </w:r>
      <w:r>
        <w:rPr>
          <w:b/>
          <w:bCs/>
        </w:rPr>
        <w:t xml:space="preserve">an </w:t>
      </w:r>
      <w:r w:rsidRPr="00D72F03">
        <w:rPr>
          <w:b/>
          <w:bCs/>
        </w:rPr>
        <w:t xml:space="preserve">output of a standardized AI/ML model deployed in </w:t>
      </w:r>
      <w:r>
        <w:rPr>
          <w:b/>
          <w:bCs/>
        </w:rPr>
        <w:t>the gNB-DU</w:t>
      </w:r>
      <w:r w:rsidRPr="00D72F03">
        <w:rPr>
          <w:b/>
          <w:bCs/>
        </w:rPr>
        <w:t>.</w:t>
      </w:r>
    </w:p>
    <w:p w14:paraId="6A4B1DB0" w14:textId="77777777" w:rsidR="008E28F9" w:rsidRDefault="008E28F9" w:rsidP="008E28F9">
      <w:r>
        <w:t>Based on this, we notice that Agreements 1 and 2 don’t provide information about whether there is a need to provide standards support for predicted (future) CCO state as an output of an AI/ML model deployed in the gNB-CU in split architecture. However, it can be understood that the spirit of the agreement from RAN3#123bis “</w:t>
      </w:r>
      <w:r w:rsidRPr="003D3304">
        <w:rPr>
          <w:rFonts w:ascii="Calibri" w:eastAsia="MS Mincho" w:hAnsi="Calibri" w:cs="Calibri"/>
          <w:i/>
          <w:iCs/>
          <w:color w:val="00B050"/>
          <w:kern w:val="2"/>
          <w:sz w:val="16"/>
          <w:szCs w:val="16"/>
        </w:rPr>
        <w:t xml:space="preserve">gNB-DU generates the </w:t>
      </w:r>
      <w:r w:rsidRPr="003D3304">
        <w:rPr>
          <w:rFonts w:ascii="Calibri" w:eastAsia="MS Mincho" w:hAnsi="Calibri" w:cs="Calibri"/>
          <w:i/>
          <w:iCs/>
          <w:color w:val="00B050"/>
          <w:kern w:val="2"/>
          <w:sz w:val="16"/>
          <w:szCs w:val="16"/>
        </w:rPr>
        <w:lastRenderedPageBreak/>
        <w:t>future coverage status based on the predicted CCO issue and other local information</w:t>
      </w:r>
      <w:r>
        <w:t>” was to not exclude predicted CCO state as AI/ML inference output.</w:t>
      </w:r>
    </w:p>
    <w:p w14:paraId="5EBEE4A4" w14:textId="77777777" w:rsidR="008E28F9" w:rsidRPr="006E6517" w:rsidRDefault="008E28F9" w:rsidP="008E28F9">
      <w:pPr>
        <w:rPr>
          <w:b/>
          <w:bCs/>
        </w:rPr>
      </w:pPr>
      <w:r w:rsidRPr="006E6517">
        <w:rPr>
          <w:b/>
          <w:bCs/>
        </w:rPr>
        <w:t>Observation 3: RAN3’s current agreements don’t provide information about whether there is a need to provide standards support for predicted (future) CCO state as</w:t>
      </w:r>
      <w:r>
        <w:rPr>
          <w:b/>
          <w:bCs/>
        </w:rPr>
        <w:t xml:space="preserve"> an</w:t>
      </w:r>
      <w:r w:rsidRPr="006E6517">
        <w:rPr>
          <w:b/>
          <w:bCs/>
        </w:rPr>
        <w:t xml:space="preserve"> output of an AI/ML model deployed in the gNB-CU in split architecture.</w:t>
      </w:r>
    </w:p>
    <w:p w14:paraId="5C566382" w14:textId="77777777" w:rsidR="008E28F9" w:rsidRDefault="008E28F9" w:rsidP="008E28F9">
      <w:r>
        <w:t>We therefore believe RAN3 should discuss the following two options:</w:t>
      </w:r>
    </w:p>
    <w:p w14:paraId="79345CB2" w14:textId="77777777" w:rsidR="008E28F9" w:rsidRPr="005C5003" w:rsidRDefault="008E28F9" w:rsidP="008E28F9">
      <w:pPr>
        <w:pStyle w:val="ListParagraph"/>
        <w:numPr>
          <w:ilvl w:val="0"/>
          <w:numId w:val="6"/>
        </w:numPr>
        <w:rPr>
          <w:sz w:val="20"/>
          <w:szCs w:val="20"/>
        </w:rPr>
      </w:pPr>
      <w:r w:rsidRPr="005C5003">
        <w:rPr>
          <w:sz w:val="20"/>
          <w:szCs w:val="20"/>
        </w:rPr>
        <w:t xml:space="preserve">Option 1: </w:t>
      </w:r>
      <w:r>
        <w:rPr>
          <w:sz w:val="20"/>
          <w:szCs w:val="20"/>
        </w:rPr>
        <w:t>Do not</w:t>
      </w:r>
      <w:r w:rsidRPr="005C5003">
        <w:rPr>
          <w:sz w:val="20"/>
          <w:szCs w:val="20"/>
        </w:rPr>
        <w:t xml:space="preserve"> support in Rel-19 the predicted (future) CCO state as </w:t>
      </w:r>
      <w:r>
        <w:rPr>
          <w:sz w:val="20"/>
          <w:szCs w:val="20"/>
        </w:rPr>
        <w:t xml:space="preserve">a </w:t>
      </w:r>
      <w:r w:rsidRPr="005C5003">
        <w:rPr>
          <w:sz w:val="20"/>
          <w:szCs w:val="20"/>
        </w:rPr>
        <w:t>standardized output of an AI/ML model deployed in the gNB-CU.</w:t>
      </w:r>
    </w:p>
    <w:p w14:paraId="68D51D23" w14:textId="77777777" w:rsidR="008E28F9" w:rsidRPr="005C5003" w:rsidRDefault="008E28F9" w:rsidP="008E28F9">
      <w:pPr>
        <w:pStyle w:val="ListParagraph"/>
        <w:numPr>
          <w:ilvl w:val="0"/>
          <w:numId w:val="6"/>
        </w:numPr>
        <w:rPr>
          <w:sz w:val="20"/>
          <w:szCs w:val="20"/>
        </w:rPr>
      </w:pPr>
      <w:r w:rsidRPr="005C5003">
        <w:rPr>
          <w:sz w:val="20"/>
          <w:szCs w:val="20"/>
        </w:rPr>
        <w:t>Option 2: Support in Rel-19 the predicted (future) CCO state as standardized output of an AI/ML model deployed in the gNB-CU</w:t>
      </w:r>
      <w:r>
        <w:rPr>
          <w:sz w:val="20"/>
          <w:szCs w:val="20"/>
        </w:rPr>
        <w:t>, serving as recommendation or assistance information in the gNB-DU</w:t>
      </w:r>
      <w:r w:rsidRPr="005C5003">
        <w:rPr>
          <w:sz w:val="20"/>
          <w:szCs w:val="20"/>
        </w:rPr>
        <w:t>.</w:t>
      </w:r>
    </w:p>
    <w:p w14:paraId="52CBA6F3" w14:textId="77777777" w:rsidR="008E28F9" w:rsidRDefault="008E28F9" w:rsidP="008E28F9"/>
    <w:p w14:paraId="69D08CF2" w14:textId="77777777" w:rsidR="008E28F9" w:rsidRDefault="008E28F9" w:rsidP="008E28F9">
      <w:r>
        <w:t xml:space="preserve">In case of option 2, the gNB-CU could send the predicted (future) CCO state to the gNB-DU as a suggested future CCO state together with time information indicating when the CCO state should be applied. The final decision to apply the suggested CCO state could then still be taken by the gNB-DU. Furthermore, in this case the CCO state prediction would benefit from feedback information already available in the gNB-CU. </w:t>
      </w:r>
    </w:p>
    <w:p w14:paraId="00BC037F" w14:textId="77777777" w:rsidR="008E28F9" w:rsidRDefault="008E28F9" w:rsidP="008E28F9">
      <w:r>
        <w:t>Although the full determination of the future CCO state in the gNB-</w:t>
      </w:r>
      <w:proofErr w:type="gramStart"/>
      <w:r>
        <w:t>DU ,</w:t>
      </w:r>
      <w:proofErr w:type="gramEnd"/>
      <w:r>
        <w:t xml:space="preserve"> as per option 1, would preserve the functional split for CCO architecture defined in Rel-17 CCO, with </w:t>
      </w:r>
      <w:r w:rsidRPr="001B23A7">
        <w:t xml:space="preserve">CCO state </w:t>
      </w:r>
      <w:r>
        <w:t>as</w:t>
      </w:r>
      <w:r w:rsidRPr="001B23A7">
        <w:t xml:space="preserve"> a function belong</w:t>
      </w:r>
      <w:r>
        <w:t>ing</w:t>
      </w:r>
      <w:r w:rsidRPr="001B23A7">
        <w:t xml:space="preserve"> to </w:t>
      </w:r>
      <w:r>
        <w:t>the gNB-</w:t>
      </w:r>
      <w:r w:rsidRPr="001B23A7">
        <w:t>DU</w:t>
      </w:r>
      <w:r>
        <w:t>, the assistance information or recommendation provided by the gNB-CU in option 2 may be beneficial in the gNB-DU. We also hope option 2 could be a reasonable way forward as compromise in RAN3, helping to conclude CCO within this study item.</w:t>
      </w:r>
    </w:p>
    <w:p w14:paraId="47DEE1F9" w14:textId="77777777" w:rsidR="008E28F9" w:rsidRPr="008056EA" w:rsidRDefault="008E28F9" w:rsidP="008E28F9">
      <w:pPr>
        <w:rPr>
          <w:b/>
          <w:bCs/>
        </w:rPr>
      </w:pPr>
      <w:r w:rsidRPr="006D4793">
        <w:rPr>
          <w:b/>
          <w:bCs/>
        </w:rPr>
        <w:t xml:space="preserve">Proposal: </w:t>
      </w:r>
      <w:r w:rsidRPr="008056EA">
        <w:rPr>
          <w:b/>
          <w:bCs/>
        </w:rPr>
        <w:t>Support in Rel-19 the predicted (future) CCO state as standardized output of an AI/ML model deployed in the gNB-CU, serving as recommendation or assistance information in the gNB-DU</w:t>
      </w:r>
      <w:r w:rsidRPr="006D4793">
        <w:rPr>
          <w:b/>
          <w:bCs/>
        </w:rPr>
        <w:t>.</w:t>
      </w:r>
    </w:p>
    <w:p w14:paraId="4C8FE832" w14:textId="77777777" w:rsidR="008E28F9" w:rsidRPr="006E13D1" w:rsidRDefault="008E28F9" w:rsidP="008E28F9">
      <w:pPr>
        <w:pStyle w:val="Heading1"/>
      </w:pPr>
      <w:r>
        <w:t>3</w:t>
      </w:r>
      <w:r w:rsidRPr="006E13D1">
        <w:tab/>
      </w:r>
      <w:r>
        <w:t>Conclusion</w:t>
      </w:r>
    </w:p>
    <w:p w14:paraId="47CBAA31" w14:textId="77777777" w:rsidR="008E28F9" w:rsidRDefault="008E28F9" w:rsidP="008E28F9">
      <w:r>
        <w:t>In this paper we make the following observations and proposal:</w:t>
      </w:r>
    </w:p>
    <w:p w14:paraId="6B4D0672" w14:textId="77777777" w:rsidR="008E28F9" w:rsidRPr="00D72F03" w:rsidRDefault="008E28F9" w:rsidP="008E28F9">
      <w:pPr>
        <w:rPr>
          <w:b/>
          <w:bCs/>
        </w:rPr>
      </w:pPr>
      <w:r w:rsidRPr="00D72F03">
        <w:rPr>
          <w:b/>
          <w:bCs/>
        </w:rPr>
        <w:t xml:space="preserve">Observation 1:  Agreement 1 excludes the predicted (or future) CCO state as </w:t>
      </w:r>
      <w:r>
        <w:rPr>
          <w:b/>
          <w:bCs/>
        </w:rPr>
        <w:t xml:space="preserve">an </w:t>
      </w:r>
      <w:r w:rsidRPr="00D72F03">
        <w:rPr>
          <w:b/>
          <w:bCs/>
        </w:rPr>
        <w:t>output of a standardized AI/ML model deployed in non-split architecture.</w:t>
      </w:r>
    </w:p>
    <w:p w14:paraId="04FD2BCB" w14:textId="77777777" w:rsidR="008E28F9" w:rsidRPr="00D72F03" w:rsidRDefault="008E28F9" w:rsidP="008E28F9">
      <w:pPr>
        <w:rPr>
          <w:b/>
          <w:bCs/>
        </w:rPr>
      </w:pPr>
      <w:r w:rsidRPr="00D72F03">
        <w:rPr>
          <w:b/>
          <w:bCs/>
        </w:rPr>
        <w:t xml:space="preserve">Observation </w:t>
      </w:r>
      <w:r>
        <w:rPr>
          <w:b/>
          <w:bCs/>
        </w:rPr>
        <w:t>2</w:t>
      </w:r>
      <w:r w:rsidRPr="00D72F03">
        <w:rPr>
          <w:b/>
          <w:bCs/>
        </w:rPr>
        <w:t xml:space="preserve">:  Agreement </w:t>
      </w:r>
      <w:r>
        <w:rPr>
          <w:b/>
          <w:bCs/>
        </w:rPr>
        <w:t>2</w:t>
      </w:r>
      <w:r w:rsidRPr="00D72F03">
        <w:rPr>
          <w:b/>
          <w:bCs/>
        </w:rPr>
        <w:t xml:space="preserve"> excludes the predicted (or future) CCO state as</w:t>
      </w:r>
      <w:r>
        <w:rPr>
          <w:b/>
          <w:bCs/>
        </w:rPr>
        <w:t xml:space="preserve"> an</w:t>
      </w:r>
      <w:r w:rsidRPr="00D72F03">
        <w:rPr>
          <w:b/>
          <w:bCs/>
        </w:rPr>
        <w:t xml:space="preserve"> output of a standardized AI/ML model deployed in </w:t>
      </w:r>
      <w:r>
        <w:rPr>
          <w:b/>
          <w:bCs/>
        </w:rPr>
        <w:t>the gNB-DU</w:t>
      </w:r>
      <w:r w:rsidRPr="00D72F03">
        <w:rPr>
          <w:b/>
          <w:bCs/>
        </w:rPr>
        <w:t>.</w:t>
      </w:r>
    </w:p>
    <w:p w14:paraId="7F85BF44" w14:textId="77777777" w:rsidR="008E28F9" w:rsidRPr="006E6517" w:rsidRDefault="008E28F9" w:rsidP="008E28F9">
      <w:pPr>
        <w:rPr>
          <w:b/>
          <w:bCs/>
        </w:rPr>
      </w:pPr>
      <w:r w:rsidRPr="006E6517">
        <w:rPr>
          <w:b/>
          <w:bCs/>
        </w:rPr>
        <w:t>Observation 3: RAN3’s current agreements don’t provide information about whether there is a need to provide standards support for predicted (future) CCO state as output of an AI/ML model deployed in the gNB-CU in split architecture.</w:t>
      </w:r>
    </w:p>
    <w:p w14:paraId="4907A091" w14:textId="77777777" w:rsidR="008E28F9" w:rsidRPr="0064586F" w:rsidRDefault="008E28F9" w:rsidP="008E28F9">
      <w:pPr>
        <w:rPr>
          <w:b/>
          <w:bCs/>
        </w:rPr>
      </w:pPr>
      <w:r w:rsidRPr="006D4793">
        <w:rPr>
          <w:b/>
          <w:bCs/>
        </w:rPr>
        <w:t xml:space="preserve">Proposal: </w:t>
      </w:r>
      <w:r w:rsidRPr="0064586F">
        <w:rPr>
          <w:b/>
          <w:bCs/>
        </w:rPr>
        <w:t>Support in Rel-19 the predicted (future) CCO state as standardized output of an AI/ML model deployed in the gNB-CU, serving as recommendation or assistance information in the gNB-DU</w:t>
      </w:r>
      <w:r w:rsidRPr="006D4793">
        <w:rPr>
          <w:b/>
          <w:bCs/>
        </w:rPr>
        <w:t>.</w:t>
      </w:r>
    </w:p>
    <w:p w14:paraId="44A7C719" w14:textId="77777777" w:rsidR="008E28F9" w:rsidRDefault="008E28F9" w:rsidP="008E28F9"/>
    <w:p w14:paraId="0BA2BD6A" w14:textId="77777777" w:rsidR="00080512" w:rsidRPr="008E28F9" w:rsidRDefault="00080512" w:rsidP="008E28F9"/>
    <w:sectPr w:rsidR="00080512" w:rsidRPr="008E28F9" w:rsidSect="008E28F9">
      <w:footerReference w:type="even" r:id="rId7"/>
      <w:footerReference w:type="default"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DB759" w14:textId="77777777" w:rsidR="00362F5F" w:rsidRDefault="00362F5F">
      <w:r>
        <w:separator/>
      </w:r>
    </w:p>
  </w:endnote>
  <w:endnote w:type="continuationSeparator" w:id="0">
    <w:p w14:paraId="1C91498C" w14:textId="77777777" w:rsidR="00362F5F" w:rsidRDefault="0036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E3DE5" w14:textId="03F28567" w:rsidR="00275B47" w:rsidRDefault="00000000">
    <w:pPr>
      <w:pStyle w:val="Footer"/>
    </w:pPr>
    <w:r>
      <w:pict w14:anchorId="3919E05E">
        <v:shapetype id="_x0000_t202" coordsize="21600,21600" o:spt="202" path="m,l,21600r21600,l21600,xe">
          <v:stroke joinstyle="miter"/>
          <v:path gradientshapeok="t" o:connecttype="rect"/>
        </v:shapetype>
        <v:shape id="Casella di testo 2" o:spid="_x0000_s1025" type="#_x0000_t202" alt="Gruppo FiberCop - Uso Aziendale - Tutti i diritti riservati." style="position:absolute;left:0;text-align:left;margin-left:0;margin-top:0;width:34.95pt;height:34.95pt;z-index: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38DDD8D" w14:textId="77777777" w:rsidR="00275B47" w:rsidRPr="00DF1CB4" w:rsidRDefault="00000000" w:rsidP="00095613">
                <w:pPr>
                  <w:spacing w:after="0"/>
                  <w:rPr>
                    <w:rFonts w:ascii="Calibri" w:eastAsia="Calibri" w:hAnsi="Calibri" w:cs="Calibri"/>
                    <w:noProof/>
                    <w:color w:val="0000FF"/>
                    <w:sz w:val="16"/>
                    <w:szCs w:val="16"/>
                  </w:rPr>
                </w:pPr>
                <w:r w:rsidRPr="00DF1CB4">
                  <w:rPr>
                    <w:rFonts w:ascii="Calibri" w:eastAsia="Calibri" w:hAnsi="Calibri" w:cs="Calibri"/>
                    <w:noProof/>
                    <w:color w:val="0000FF"/>
                    <w:sz w:val="16"/>
                    <w:szCs w:val="16"/>
                  </w:rPr>
                  <w:t>Gruppo FiberCop - Uso Aziendale - Tutti i diritti riservati.</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71488" w14:textId="77777777" w:rsidR="00275B47" w:rsidRPr="008056EA" w:rsidRDefault="00275B47" w:rsidP="008056EA">
    <w:pPr>
      <w:pStyle w:val="Footer"/>
      <w:jc w:val="lef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EAF30" w14:textId="7CB8A771" w:rsidR="00275B47" w:rsidRDefault="00000000">
    <w:pPr>
      <w:pStyle w:val="Footer"/>
    </w:pPr>
    <w:r>
      <w:pict w14:anchorId="789550F6">
        <v:shapetype id="_x0000_t202" coordsize="21600,21600" o:spt="202" path="m,l,21600r21600,l21600,xe">
          <v:stroke joinstyle="miter"/>
          <v:path gradientshapeok="t" o:connecttype="rect"/>
        </v:shapetype>
        <v:shape id="Casella di testo 1" o:spid="_x0000_s1026" type="#_x0000_t202" alt="Gruppo FiberCop - Uso Aziendale - Tutti i diritti riservati." style="position:absolute;left:0;text-align:left;margin-left:0;margin-top:0;width:34.95pt;height:34.95pt;z-index: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D34948A" w14:textId="77777777" w:rsidR="00275B47" w:rsidRPr="00DF1CB4" w:rsidRDefault="00000000" w:rsidP="00095613">
                <w:pPr>
                  <w:spacing w:after="0"/>
                  <w:rPr>
                    <w:rFonts w:ascii="Calibri" w:eastAsia="Calibri" w:hAnsi="Calibri" w:cs="Calibri"/>
                    <w:noProof/>
                    <w:color w:val="0000FF"/>
                    <w:sz w:val="16"/>
                    <w:szCs w:val="16"/>
                  </w:rPr>
                </w:pPr>
                <w:r w:rsidRPr="00DF1CB4">
                  <w:rPr>
                    <w:rFonts w:ascii="Calibri" w:eastAsia="Calibri" w:hAnsi="Calibri" w:cs="Calibri"/>
                    <w:noProof/>
                    <w:color w:val="0000FF"/>
                    <w:sz w:val="16"/>
                    <w:szCs w:val="16"/>
                  </w:rPr>
                  <w:t>Gruppo FiberCop - Uso Aziendale - Tutti i diritti riservati.</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069FF" w14:textId="77777777" w:rsidR="00362F5F" w:rsidRDefault="00362F5F">
      <w:r>
        <w:separator/>
      </w:r>
    </w:p>
  </w:footnote>
  <w:footnote w:type="continuationSeparator" w:id="0">
    <w:p w14:paraId="2E02EF2B" w14:textId="77777777" w:rsidR="00362F5F" w:rsidRDefault="0036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9F2076"/>
    <w:multiLevelType w:val="hybridMultilevel"/>
    <w:tmpl w:val="1C0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434D53"/>
    <w:multiLevelType w:val="hybridMultilevel"/>
    <w:tmpl w:val="560C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31423264">
    <w:abstractNumId w:val="4"/>
  </w:num>
  <w:num w:numId="6" w16cid:durableId="376399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48C"/>
    <w:rsid w:val="00030DA5"/>
    <w:rsid w:val="00033397"/>
    <w:rsid w:val="000342C7"/>
    <w:rsid w:val="00040095"/>
    <w:rsid w:val="0005563E"/>
    <w:rsid w:val="00057C47"/>
    <w:rsid w:val="00080512"/>
    <w:rsid w:val="00083F0D"/>
    <w:rsid w:val="000B7BCF"/>
    <w:rsid w:val="000C556D"/>
    <w:rsid w:val="000D376D"/>
    <w:rsid w:val="000D58AB"/>
    <w:rsid w:val="001075B7"/>
    <w:rsid w:val="001370F2"/>
    <w:rsid w:val="001549DD"/>
    <w:rsid w:val="001550D6"/>
    <w:rsid w:val="00194CD0"/>
    <w:rsid w:val="001B08B3"/>
    <w:rsid w:val="001C4281"/>
    <w:rsid w:val="001D0D3F"/>
    <w:rsid w:val="001D6395"/>
    <w:rsid w:val="001E39D1"/>
    <w:rsid w:val="001F168B"/>
    <w:rsid w:val="001F70B7"/>
    <w:rsid w:val="00200CD5"/>
    <w:rsid w:val="00225F6D"/>
    <w:rsid w:val="0022606D"/>
    <w:rsid w:val="002305DD"/>
    <w:rsid w:val="00242C2A"/>
    <w:rsid w:val="00243BC7"/>
    <w:rsid w:val="002623FC"/>
    <w:rsid w:val="002747EC"/>
    <w:rsid w:val="00275B47"/>
    <w:rsid w:val="002855BF"/>
    <w:rsid w:val="002953B2"/>
    <w:rsid w:val="002B0B54"/>
    <w:rsid w:val="002E1692"/>
    <w:rsid w:val="002F022C"/>
    <w:rsid w:val="002F0D22"/>
    <w:rsid w:val="003172DC"/>
    <w:rsid w:val="00326069"/>
    <w:rsid w:val="003454FC"/>
    <w:rsid w:val="0035462D"/>
    <w:rsid w:val="00362F5F"/>
    <w:rsid w:val="00363177"/>
    <w:rsid w:val="003702F7"/>
    <w:rsid w:val="003B3FB3"/>
    <w:rsid w:val="003C4E37"/>
    <w:rsid w:val="003D4ABB"/>
    <w:rsid w:val="003E1194"/>
    <w:rsid w:val="003E16BE"/>
    <w:rsid w:val="003E7223"/>
    <w:rsid w:val="00401855"/>
    <w:rsid w:val="00464695"/>
    <w:rsid w:val="00477783"/>
    <w:rsid w:val="004B2CDD"/>
    <w:rsid w:val="004C5539"/>
    <w:rsid w:val="004D3578"/>
    <w:rsid w:val="004D380D"/>
    <w:rsid w:val="004D3F58"/>
    <w:rsid w:val="004D5E47"/>
    <w:rsid w:val="004E213A"/>
    <w:rsid w:val="004E21FC"/>
    <w:rsid w:val="004F46A6"/>
    <w:rsid w:val="00503171"/>
    <w:rsid w:val="005153FE"/>
    <w:rsid w:val="005240A4"/>
    <w:rsid w:val="00531C12"/>
    <w:rsid w:val="00534DA0"/>
    <w:rsid w:val="00540B31"/>
    <w:rsid w:val="00543E6C"/>
    <w:rsid w:val="00544635"/>
    <w:rsid w:val="00565087"/>
    <w:rsid w:val="0056573F"/>
    <w:rsid w:val="00565BE9"/>
    <w:rsid w:val="00571CE2"/>
    <w:rsid w:val="005A27D5"/>
    <w:rsid w:val="005A4971"/>
    <w:rsid w:val="005B1232"/>
    <w:rsid w:val="005B2EEF"/>
    <w:rsid w:val="005D4274"/>
    <w:rsid w:val="00605E3E"/>
    <w:rsid w:val="00606DA9"/>
    <w:rsid w:val="00611566"/>
    <w:rsid w:val="00611D47"/>
    <w:rsid w:val="0064192A"/>
    <w:rsid w:val="00656E1E"/>
    <w:rsid w:val="006604E4"/>
    <w:rsid w:val="006B36A5"/>
    <w:rsid w:val="006C54B5"/>
    <w:rsid w:val="006D1E24"/>
    <w:rsid w:val="00702BDF"/>
    <w:rsid w:val="007067B2"/>
    <w:rsid w:val="007318F1"/>
    <w:rsid w:val="00734A5B"/>
    <w:rsid w:val="00741EC5"/>
    <w:rsid w:val="00743525"/>
    <w:rsid w:val="00744E76"/>
    <w:rsid w:val="007476DB"/>
    <w:rsid w:val="0075565E"/>
    <w:rsid w:val="00757D40"/>
    <w:rsid w:val="00765A81"/>
    <w:rsid w:val="00774846"/>
    <w:rsid w:val="00781F0F"/>
    <w:rsid w:val="00782170"/>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8E28F9"/>
    <w:rsid w:val="0090271F"/>
    <w:rsid w:val="00903D8C"/>
    <w:rsid w:val="00942EC2"/>
    <w:rsid w:val="00954BCB"/>
    <w:rsid w:val="00961B32"/>
    <w:rsid w:val="00971683"/>
    <w:rsid w:val="00972FD7"/>
    <w:rsid w:val="00974BB0"/>
    <w:rsid w:val="009A21A3"/>
    <w:rsid w:val="009A6E4F"/>
    <w:rsid w:val="009C4529"/>
    <w:rsid w:val="009C4D5C"/>
    <w:rsid w:val="009D0A28"/>
    <w:rsid w:val="009E618D"/>
    <w:rsid w:val="009F3B54"/>
    <w:rsid w:val="009F7E6E"/>
    <w:rsid w:val="00A10F02"/>
    <w:rsid w:val="00A46EA9"/>
    <w:rsid w:val="00A53724"/>
    <w:rsid w:val="00A814E6"/>
    <w:rsid w:val="00A82346"/>
    <w:rsid w:val="00A8361A"/>
    <w:rsid w:val="00A9671C"/>
    <w:rsid w:val="00AB6AAB"/>
    <w:rsid w:val="00AD4BCF"/>
    <w:rsid w:val="00AF4A8E"/>
    <w:rsid w:val="00AF78D5"/>
    <w:rsid w:val="00B0327B"/>
    <w:rsid w:val="00B1063A"/>
    <w:rsid w:val="00B15449"/>
    <w:rsid w:val="00B21241"/>
    <w:rsid w:val="00B746AA"/>
    <w:rsid w:val="00B9781E"/>
    <w:rsid w:val="00BF79F1"/>
    <w:rsid w:val="00C03035"/>
    <w:rsid w:val="00C12BD1"/>
    <w:rsid w:val="00C275BC"/>
    <w:rsid w:val="00C33079"/>
    <w:rsid w:val="00C365F1"/>
    <w:rsid w:val="00C43B31"/>
    <w:rsid w:val="00C50536"/>
    <w:rsid w:val="00C50FF2"/>
    <w:rsid w:val="00C55EB7"/>
    <w:rsid w:val="00C84ED9"/>
    <w:rsid w:val="00CA3D0C"/>
    <w:rsid w:val="00CB6651"/>
    <w:rsid w:val="00CB6887"/>
    <w:rsid w:val="00CD4C7B"/>
    <w:rsid w:val="00D22038"/>
    <w:rsid w:val="00D454EC"/>
    <w:rsid w:val="00D45717"/>
    <w:rsid w:val="00D5437E"/>
    <w:rsid w:val="00D738D6"/>
    <w:rsid w:val="00D80795"/>
    <w:rsid w:val="00D87E00"/>
    <w:rsid w:val="00D908B4"/>
    <w:rsid w:val="00D9134D"/>
    <w:rsid w:val="00D97CD9"/>
    <w:rsid w:val="00DA58E4"/>
    <w:rsid w:val="00DA7A03"/>
    <w:rsid w:val="00DB1818"/>
    <w:rsid w:val="00DC309B"/>
    <w:rsid w:val="00DC4DA2"/>
    <w:rsid w:val="00DE1406"/>
    <w:rsid w:val="00E07838"/>
    <w:rsid w:val="00E26B57"/>
    <w:rsid w:val="00E30B21"/>
    <w:rsid w:val="00E340BC"/>
    <w:rsid w:val="00E51F8B"/>
    <w:rsid w:val="00E619F5"/>
    <w:rsid w:val="00E62835"/>
    <w:rsid w:val="00E77645"/>
    <w:rsid w:val="00E852FF"/>
    <w:rsid w:val="00E90ABE"/>
    <w:rsid w:val="00EA1D56"/>
    <w:rsid w:val="00EA22F8"/>
    <w:rsid w:val="00EC43BA"/>
    <w:rsid w:val="00EC4A25"/>
    <w:rsid w:val="00EC5B44"/>
    <w:rsid w:val="00ED096C"/>
    <w:rsid w:val="00EE0A1E"/>
    <w:rsid w:val="00F025A2"/>
    <w:rsid w:val="00F2026E"/>
    <w:rsid w:val="00F2210A"/>
    <w:rsid w:val="00F37743"/>
    <w:rsid w:val="00F522A8"/>
    <w:rsid w:val="00F54A3D"/>
    <w:rsid w:val="00F653B8"/>
    <w:rsid w:val="00F76F8F"/>
    <w:rsid w:val="00F806FB"/>
    <w:rsid w:val="00F97D2B"/>
    <w:rsid w:val="00FA1266"/>
    <w:rsid w:val="00FB2BEA"/>
    <w:rsid w:val="00FC1192"/>
    <w:rsid w:val="00FC53BF"/>
    <w:rsid w:val="00FC6713"/>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Normal bullet 2,Bullet list,목록단락,列表段落11,列,列出段落1"/>
    <w:basedOn w:val="Normal"/>
    <w:link w:val="ListParagraphChar"/>
    <w:uiPriority w:val="34"/>
    <w:qFormat/>
    <w:rsid w:val="008E28F9"/>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E28F9"/>
    <w:rPr>
      <w:sz w:val="24"/>
      <w:szCs w:val="24"/>
    </w:rPr>
  </w:style>
  <w:style w:type="character" w:customStyle="1" w:styleId="Heading1Char">
    <w:name w:val="Heading 1 Char"/>
    <w:aliases w:val="H1 Char"/>
    <w:link w:val="Heading1"/>
    <w:rsid w:val="008E28F9"/>
    <w:rPr>
      <w:rFonts w:ascii="Arial" w:hAnsi="Arial"/>
      <w:sz w:val="36"/>
      <w:lang w:val="en-GB"/>
    </w:rPr>
  </w:style>
  <w:style w:type="character" w:customStyle="1" w:styleId="CRCoverPageZchn">
    <w:name w:val="CR Cover Page Zchn"/>
    <w:link w:val="CRCoverPage"/>
    <w:rsid w:val="008E28F9"/>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139</TotalTime>
  <Pages>2</Pages>
  <Words>881</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44</cp:revision>
  <dcterms:created xsi:type="dcterms:W3CDTF">2019-06-29T13:33:00Z</dcterms:created>
  <dcterms:modified xsi:type="dcterms:W3CDTF">2024-08-08T17:28:00Z</dcterms:modified>
</cp:coreProperties>
</file>